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rFonts w:ascii="Times New Roman" w:hAnsi="Times New Roman"/>
          <w:sz w:val="28"/>
          <w:szCs w:val="28"/>
          <w:lang w:val="en-US"/>
        </w:rPr>
      </w:pPr>
      <w:bookmarkStart w:id="0" w:name="_GoBack"/>
      <w:bookmarkEnd w:id="0"/>
      <w:r>
        <w:rPr>
          <w:rFonts w:ascii="Times New Roman" w:hAnsi="Times New Roman"/>
          <w:sz w:val="28"/>
          <w:szCs w:val="28"/>
          <w:lang w:val="en-US"/>
        </w:rPr>
        <w:t>8.3</w:t>
      </w:r>
      <w:r>
        <w:rPr>
          <w:rFonts w:ascii="Times New Roman" w:hAnsi="Times New Roman"/>
          <w:sz w:val="28"/>
          <w:szCs w:val="28"/>
          <w:lang w:val="uz-Cyrl-UZ"/>
        </w:rPr>
        <w:t>-laboratoriya</w:t>
      </w:r>
      <w:r>
        <w:rPr>
          <w:rFonts w:ascii="Times New Roman" w:hAnsi="Times New Roman"/>
          <w:sz w:val="28"/>
          <w:szCs w:val="28"/>
          <w:lang w:val="en-US"/>
        </w:rPr>
        <w:t xml:space="preserve"> mashg`uloti</w:t>
      </w:r>
    </w:p>
    <w:p>
      <w:pPr>
        <w:pStyle w:val="style1"/>
        <w:rPr>
          <w:rFonts w:ascii="Times New Roman" w:hAnsi="Times New Roman"/>
          <w:sz w:val="28"/>
          <w:szCs w:val="28"/>
          <w:lang w:val="uz-Cyrl-UZ"/>
        </w:rPr>
      </w:pPr>
      <w:r>
        <w:rPr>
          <w:rFonts w:ascii="Times New Roman" w:hAnsi="Times New Roman"/>
          <w:sz w:val="28"/>
          <w:szCs w:val="28"/>
          <w:lang w:val="uz-Cyrl-UZ"/>
        </w:rPr>
        <w:t>Mavzu:</w:t>
      </w:r>
      <w:r>
        <w:rPr>
          <w:rFonts w:ascii="Times New Roman" w:hAnsi="Times New Roman"/>
          <w:sz w:val="28"/>
          <w:szCs w:val="28"/>
          <w:lang w:val="sv-SE"/>
        </w:rPr>
        <w:t xml:space="preserve"> </w:t>
      </w:r>
      <w:r>
        <w:rPr>
          <w:rFonts w:ascii="Times New Roman" w:hAnsi="Times New Roman"/>
          <w:sz w:val="28"/>
          <w:szCs w:val="28"/>
          <w:lang w:val="en-US"/>
        </w:rPr>
        <w:t>Odamning ayirish organlarini modellashtirish</w:t>
      </w:r>
    </w:p>
    <w:p>
      <w:pPr>
        <w:pStyle w:val="style1"/>
        <w:ind w:firstLine="720"/>
        <w:jc w:val="left"/>
        <w:rPr>
          <w:rFonts w:ascii="Times New Roman" w:hAnsi="Times New Roman"/>
          <w:i/>
          <w:iCs/>
          <w:sz w:val="28"/>
          <w:szCs w:val="28"/>
          <w:lang w:val="uz-Cyrl-UZ"/>
        </w:rPr>
      </w:pPr>
      <w:r>
        <w:rPr>
          <w:rFonts w:ascii="Times New Roman" w:hAnsi="Times New Roman"/>
          <w:i/>
          <w:iCs/>
          <w:sz w:val="28"/>
          <w:szCs w:val="28"/>
          <w:lang w:val="uz-Cyrl-UZ"/>
        </w:rPr>
        <w:t xml:space="preserve">Laboratoriya mashg‘ulotining maqsadi: </w:t>
      </w:r>
      <w:r>
        <w:rPr>
          <w:rFonts w:ascii="Times New Roman" w:hAnsi="Times New Roman"/>
          <w:i/>
          <w:iCs/>
          <w:sz w:val="28"/>
          <w:szCs w:val="28"/>
          <w:lang w:val="en-US"/>
        </w:rPr>
        <w:t>odamning ayirish organlari tuzilishini modellashtirish orqali o‘rganish.Odamning siydik ayirish sistemasi bir juft buyraklar, ulardan boshlanuvchi siydik yo‘llari, qovuq hamda siydik chiqarish kanalidan iborat. Qondagi moddalar almashinuvi qoldiqlari buyraklarda filtrlanadi va siydik yo‘llari orqali o‘tib qovuqda to‘planadi, so‘ng siydik chiqarish kanalidan o‘tib, maxsus teshik orqali tashqariga chiqariladi. Hayvonlarni siydik ayirish sistemasini modellashtirish orqali o‘rganish mumkin.</w:t>
      </w:r>
    </w:p>
    <w:p>
      <w:pPr>
        <w:pStyle w:val="style1"/>
        <w:ind w:firstLine="708"/>
        <w:jc w:val="both"/>
        <w:rPr>
          <w:rFonts w:ascii="Times New Roman" w:hAnsi="Times New Roman"/>
          <w:b w:val="false"/>
          <w:bCs w:val="false"/>
          <w:sz w:val="28"/>
          <w:szCs w:val="28"/>
          <w:lang w:val="uz-Cyrl-UZ"/>
        </w:rPr>
      </w:pPr>
    </w:p>
    <w:p>
      <w:pPr>
        <w:pStyle w:val="style1"/>
        <w:ind w:firstLine="720"/>
        <w:jc w:val="both"/>
        <w:rPr>
          <w:rFonts w:ascii="Times New Roman" w:hAnsi="Times New Roman"/>
          <w:b w:val="false"/>
          <w:bCs w:val="false"/>
          <w:sz w:val="28"/>
          <w:szCs w:val="28"/>
          <w:lang w:val="uz-Cyrl-UZ"/>
        </w:rPr>
      </w:pPr>
      <w:r>
        <w:rPr>
          <w:rFonts w:ascii="Times New Roman" w:hAnsi="Times New Roman"/>
          <w:i/>
          <w:iCs/>
          <w:sz w:val="28"/>
          <w:szCs w:val="28"/>
          <w:lang w:val="uz-Cyrl-UZ"/>
        </w:rPr>
        <w:t>Zarur jihozlar:</w:t>
      </w:r>
      <w:r>
        <w:rPr>
          <w:rFonts w:ascii="Times New Roman" w:hAnsi="Times New Roman"/>
          <w:sz w:val="28"/>
          <w:szCs w:val="28"/>
          <w:lang w:val="uz-Cyrl-UZ"/>
        </w:rPr>
        <w:t xml:space="preserve"> </w:t>
      </w:r>
      <w:r>
        <w:rPr>
          <w:rFonts w:ascii="Times New Roman" w:hAnsi="Times New Roman"/>
          <w:sz w:val="28"/>
          <w:szCs w:val="28"/>
          <w:lang w:val="en-US"/>
        </w:rPr>
        <w:t xml:space="preserve">karton va rangli qog‘oz, chizg‘ich, yelim, qaychi, plastmassa pichoqcha, po‘kak.Hayvon buyragi , mikroskop , perchatkalar . </w:t>
      </w:r>
      <w:r>
        <w:rPr>
          <w:rFonts w:ascii="Times New Roman" w:hAnsi="Times New Roman"/>
          <w:sz w:val="28"/>
          <w:szCs w:val="28"/>
          <w:lang w:val="en-US"/>
        </w:rPr>
        <w:cr/>
      </w:r>
    </w:p>
    <w:p>
      <w:pPr>
        <w:pStyle w:val="style0"/>
        <w:ind w:firstLine="720"/>
        <w:jc w:val="both"/>
        <w:rPr>
          <w:rFonts w:ascii="Times New Roman" w:cs="Times New Roman" w:hAnsi="Times New Roman"/>
          <w:sz w:val="28"/>
          <w:szCs w:val="28"/>
          <w:lang w:val="en-US"/>
        </w:rPr>
      </w:pPr>
      <w:r>
        <w:rPr>
          <w:rFonts w:ascii="Times New Roman" w:cs="Times New Roman" w:hAnsi="Times New Roman"/>
          <w:b/>
          <w:bCs/>
          <w:sz w:val="28"/>
          <w:szCs w:val="28"/>
          <w:lang w:val="en-US"/>
        </w:rPr>
        <w:t>Laboratoriya mashg‘ulotida foydalaniladigan pedagogik texnologiya:</w:t>
      </w:r>
      <w:r>
        <w:rPr>
          <w:rFonts w:ascii="Times New Roman" w:cs="Times New Roman" w:hAnsi="Times New Roman"/>
          <w:sz w:val="28"/>
          <w:szCs w:val="28"/>
          <w:lang w:val="en-US"/>
        </w:rPr>
        <w:t xml:space="preserve"> </w:t>
      </w:r>
    </w:p>
    <w:p>
      <w:pPr>
        <w:pStyle w:val="style0"/>
        <w:ind w:firstLine="72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Hamkorlikda o‘qitish texnologiyasining kichik guruhlarda ishlash metodi.Qiziqarli metodlar . </w:t>
      </w:r>
    </w:p>
    <w:p>
      <w:pPr>
        <w:pStyle w:val="style0"/>
        <w:ind w:firstLine="72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Xavfsizlik qoidalari: </w:t>
      </w:r>
    </w:p>
    <w:p>
      <w:pPr>
        <w:pStyle w:val="style0"/>
        <w:jc w:val="both"/>
        <w:rPr>
          <w:rFonts w:ascii="Times New Roman" w:cs="Times New Roman" w:hAnsi="Times New Roman"/>
          <w:sz w:val="28"/>
          <w:szCs w:val="28"/>
          <w:lang w:val="en-US"/>
        </w:rPr>
      </w:pPr>
      <w:r>
        <w:rPr>
          <w:rFonts w:ascii="Times New Roman" w:cs="Times New Roman" w:hAnsi="Times New Roman"/>
          <w:sz w:val="28"/>
          <w:szCs w:val="28"/>
          <w:lang w:val="en-US"/>
        </w:rPr>
        <w:t>1. Plastmassa pichoqcha, qaychi va egiluvchan sim bilan ishlaganda ehtiyot bo‘ling.</w:t>
      </w:r>
    </w:p>
    <w:p>
      <w:pPr>
        <w:pStyle w:val="style0"/>
        <w:jc w:val="both"/>
        <w:rPr>
          <w:rFonts w:ascii="Times New Roman" w:cs="Times New Roman" w:hAnsi="Times New Roman"/>
          <w:sz w:val="28"/>
          <w:szCs w:val="28"/>
          <w:lang w:val="en-US"/>
        </w:rPr>
      </w:pPr>
      <w:r>
        <w:rPr>
          <w:rFonts w:ascii="Times New Roman" w:cs="Times New Roman" w:hAnsi="Times New Roman"/>
          <w:sz w:val="28"/>
          <w:szCs w:val="28"/>
          <w:lang w:val="en-US"/>
        </w:rPr>
        <w:t>2. Rangli bo‘yoqlardan foydalanganda ust-boshingizga rang tegmasin</w:t>
      </w:r>
    </w:p>
    <w:p>
      <w:pPr>
        <w:pStyle w:val="style0"/>
        <w:jc w:val="both"/>
        <w:rPr>
          <w:rFonts w:ascii="Times New Roman" w:cs="Times New Roman" w:hAnsi="Times New Roman"/>
          <w:b/>
          <w:bCs/>
          <w:sz w:val="28"/>
          <w:szCs w:val="28"/>
          <w:lang w:val="uz-Cyrl-UZ"/>
        </w:rPr>
      </w:pPr>
      <w:r>
        <w:rPr>
          <w:rFonts w:ascii="Times New Roman" w:cs="Times New Roman" w:hAnsi="Times New Roman"/>
          <w:sz w:val="28"/>
          <w:szCs w:val="28"/>
          <w:lang w:val="uz-Cyrl-UZ"/>
        </w:rPr>
        <w:t xml:space="preserve">              </w:t>
      </w:r>
      <w:r>
        <w:rPr>
          <w:rFonts w:ascii="Times New Roman" w:cs="Times New Roman" w:hAnsi="Times New Roman"/>
          <w:b/>
          <w:bCs/>
          <w:sz w:val="28"/>
          <w:szCs w:val="28"/>
          <w:lang w:val="en-US"/>
        </w:rPr>
        <w:t>Nazariy qism:</w:t>
      </w:r>
      <w:r>
        <w:rPr>
          <w:rFonts w:ascii="Times New Roman" w:cs="Times New Roman" w:hAnsi="Times New Roman"/>
          <w:b/>
          <w:bCs/>
          <w:sz w:val="28"/>
          <w:szCs w:val="28"/>
          <w:lang w:val="uz-Cyrl-UZ"/>
        </w:rPr>
        <w:t xml:space="preserve">       </w:t>
      </w:r>
    </w:p>
    <w:p>
      <w:pPr>
        <w:pStyle w:val="style0"/>
        <w:jc w:val="both"/>
        <w:rPr>
          <w:rFonts w:ascii="Times New Roman" w:cs="Times New Roman" w:hAnsi="Times New Roman"/>
          <w:b/>
          <w:bCs/>
          <w:sz w:val="28"/>
          <w:szCs w:val="28"/>
          <w:lang w:val="en-US"/>
        </w:rPr>
      </w:pPr>
      <w:r>
        <w:rPr>
          <w:rFonts w:ascii="Times New Roman" w:cs="Times New Roman" w:hAnsi="Times New Roman"/>
          <w:b/>
          <w:bCs/>
          <w:sz w:val="28"/>
          <w:szCs w:val="28"/>
          <w:lang w:val="en-US"/>
        </w:rPr>
        <w:t>Mashg‘ulot davomida oʻquvchilar</w:t>
      </w:r>
    </w:p>
    <w:p>
      <w:pPr>
        <w:pStyle w:val="style0"/>
        <w:numPr>
          <w:ilvl w:val="0"/>
          <w:numId w:val="1"/>
        </w:numPr>
        <w:tabs>
          <w:tab w:val="clear" w:pos="720"/>
        </w:tabs>
        <w:autoSpaceDE w:val="false"/>
        <w:autoSpaceDN w:val="false"/>
        <w:spacing w:after="0" w:lineRule="auto" w:line="240"/>
        <w:ind w:left="426" w:hanging="426"/>
        <w:jc w:val="both"/>
        <w:rPr>
          <w:rFonts w:ascii="Times New Roman" w:cs="Times New Roman" w:hAnsi="Times New Roman"/>
          <w:sz w:val="28"/>
          <w:szCs w:val="28"/>
          <w:lang w:val="en-US"/>
        </w:rPr>
      </w:pPr>
      <w:r>
        <w:rPr>
          <w:rFonts w:ascii="Times New Roman" w:cs="Times New Roman" w:hAnsi="Times New Roman"/>
          <w:sz w:val="28"/>
          <w:szCs w:val="28"/>
          <w:lang w:val="en-US"/>
        </w:rPr>
        <w:t>Umumiy o‘rta ta’lim maktablari uchun tuzilgan davlat ta’lim standar</w:t>
      </w:r>
      <w:r>
        <w:rPr>
          <w:rFonts w:ascii="Times New Roman" w:cs="Times New Roman" w:hAnsi="Times New Roman"/>
          <w:sz w:val="28"/>
          <w:szCs w:val="28"/>
          <w:lang w:val="en-US"/>
        </w:rPr>
        <w:t>ti</w:t>
      </w:r>
      <w:r>
        <w:rPr>
          <w:rFonts w:ascii="Times New Roman" w:cs="Times New Roman" w:hAnsi="Times New Roman"/>
          <w:sz w:val="28"/>
          <w:szCs w:val="28"/>
          <w:lang w:val="en-US"/>
        </w:rPr>
        <w:t>ni bajarish Respublika hududida faoliyat ko‘rsatayotgan barcha ta’lim muassasalari uchun majburiy ekanligini bilishi;</w:t>
      </w:r>
    </w:p>
    <w:p>
      <w:pPr>
        <w:pStyle w:val="style1"/>
        <w:numPr>
          <w:ilvl w:val="0"/>
          <w:numId w:val="5"/>
        </w:numPr>
        <w:jc w:val="both"/>
        <w:rPr>
          <w:rFonts w:ascii="Times New Roman" w:hAnsi="Times New Roman"/>
          <w:b w:val="false"/>
          <w:bCs w:val="false"/>
          <w:sz w:val="28"/>
          <w:szCs w:val="28"/>
          <w:lang w:val="en-US"/>
        </w:rPr>
      </w:pPr>
      <w:r>
        <w:rPr>
          <w:rFonts w:ascii="Times New Roman" w:hAnsi="Times New Roman"/>
          <w:b w:val="false"/>
          <w:bCs w:val="false"/>
          <w:sz w:val="28"/>
          <w:szCs w:val="28"/>
          <w:lang w:val="en-US"/>
        </w:rPr>
        <w:t>Umumiy o‘rta ta’lim maktablarining biologiyadan tuzilgan davlat ta’lim standartining mazmuni va mohiyati, ularni ishlab chiqish va joriy etish asoslarini anglashi;</w:t>
      </w:r>
    </w:p>
    <w:p>
      <w:pPr>
        <w:pStyle w:val="style1"/>
        <w:numPr>
          <w:ilvl w:val="0"/>
          <w:numId w:val="5"/>
        </w:numPr>
        <w:jc w:val="both"/>
        <w:rPr>
          <w:rFonts w:ascii="Times New Roman" w:hAnsi="Times New Roman"/>
          <w:b w:val="false"/>
          <w:bCs w:val="false"/>
          <w:sz w:val="28"/>
          <w:szCs w:val="28"/>
          <w:lang w:val="en-US"/>
        </w:rPr>
      </w:pPr>
      <w:r>
        <w:rPr>
          <w:rFonts w:ascii="Times New Roman" w:hAnsi="Times New Roman"/>
          <w:b w:val="false"/>
          <w:bCs w:val="false"/>
          <w:sz w:val="28"/>
          <w:szCs w:val="28"/>
          <w:lang w:val="en-US"/>
        </w:rPr>
        <w:t>Biologiyadan tuzilgan davlat ta’lim standarti mazmunining o‘quv dasturi bilan uzviyligini tushunishi;</w:t>
      </w:r>
    </w:p>
    <w:p>
      <w:pPr>
        <w:pStyle w:val="style0"/>
        <w:numPr>
          <w:ilvl w:val="0"/>
          <w:numId w:val="7"/>
        </w:numPr>
        <w:autoSpaceDE w:val="false"/>
        <w:autoSpaceDN w:val="false"/>
        <w:spacing w:after="0" w:lineRule="auto" w:line="24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Biologiyadan tuzilgan davlat ta’lim standartida o‘quvchilarning bilim va ko‘nikmasiga qo‘yilgan minimal  va maksimal talablarni o‘rganishi, ularni nazorat qilish va baholash ko‘nikmalari; </w:t>
      </w:r>
    </w:p>
    <w:p>
      <w:pPr>
        <w:pStyle w:val="style1"/>
        <w:numPr>
          <w:ilvl w:val="0"/>
          <w:numId w:val="5"/>
        </w:numPr>
        <w:jc w:val="both"/>
        <w:rPr>
          <w:rFonts w:ascii="Times New Roman" w:hAnsi="Times New Roman"/>
          <w:b w:val="false"/>
          <w:bCs w:val="false"/>
          <w:sz w:val="28"/>
          <w:szCs w:val="28"/>
          <w:lang w:val="en-US"/>
        </w:rPr>
      </w:pPr>
      <w:r>
        <w:rPr>
          <w:rFonts w:ascii="Times New Roman" w:hAnsi="Times New Roman"/>
          <w:b w:val="false"/>
          <w:bCs w:val="false"/>
          <w:sz w:val="28"/>
          <w:szCs w:val="28"/>
          <w:lang w:val="en-US"/>
        </w:rPr>
        <w:t xml:space="preserve">Umumiy o‘rta ta’lim maktablarining biologiyadan DTS, o‘quv dasturi va darsliklarni tahlil qilish ko‘nikmasini egallashi; </w:t>
      </w:r>
    </w:p>
    <w:p>
      <w:pPr>
        <w:pStyle w:val="style0"/>
        <w:numPr>
          <w:ilvl w:val="0"/>
          <w:numId w:val="0"/>
        </w:numPr>
        <w:autoSpaceDE w:val="false"/>
        <w:autoSpaceDN w:val="false"/>
        <w:spacing w:after="0" w:lineRule="auto" w:line="240"/>
        <w:jc w:val="both"/>
        <w:rPr>
          <w:rFonts w:ascii="Times New Roman" w:cs="Times New Roman" w:hAnsi="Times New Roman"/>
          <w:sz w:val="28"/>
          <w:szCs w:val="28"/>
          <w:lang w:val="en-US"/>
        </w:rPr>
      </w:pPr>
    </w:p>
    <w:p>
      <w:pPr>
        <w:pStyle w:val="style0"/>
        <w:ind w:firstLine="360"/>
        <w:jc w:val="both"/>
        <w:rPr>
          <w:rFonts w:ascii="Times New Roman" w:cs="Times New Roman" w:hAnsi="Times New Roman"/>
          <w:b/>
          <w:bCs/>
          <w:sz w:val="28"/>
          <w:szCs w:val="28"/>
        </w:rPr>
      </w:pPr>
      <w:r>
        <w:rPr>
          <w:rFonts w:ascii="Times New Roman" w:cs="Times New Roman" w:hAnsi="Times New Roman"/>
          <w:b/>
          <w:bCs/>
          <w:sz w:val="28"/>
          <w:szCs w:val="28"/>
        </w:rPr>
        <w:t>Laboratoriya mashg‘ulotining borishi:</w:t>
      </w:r>
    </w:p>
    <w:p>
      <w:pPr>
        <w:pStyle w:val="style0"/>
        <w:numPr>
          <w:ilvl w:val="0"/>
          <w:numId w:val="6"/>
        </w:numPr>
        <w:autoSpaceDE w:val="false"/>
        <w:autoSpaceDN w:val="false"/>
        <w:spacing w:after="0" w:lineRule="auto" w:line="240"/>
        <w:jc w:val="both"/>
        <w:rPr>
          <w:rFonts w:ascii="Times New Roman" w:cs="Times New Roman" w:hAnsi="Times New Roman"/>
          <w:sz w:val="28"/>
          <w:szCs w:val="28"/>
        </w:rPr>
      </w:pPr>
      <w:r>
        <w:rPr>
          <w:rFonts w:ascii="Times New Roman" w:cs="Times New Roman" w:hAnsi="Times New Roman"/>
          <w:sz w:val="28"/>
          <w:szCs w:val="28"/>
        </w:rPr>
        <w:t xml:space="preserve">Tashkiliy qism. </w:t>
      </w:r>
      <w:r>
        <w:rPr>
          <w:rFonts w:ascii="Times New Roman" w:cs="Times New Roman" w:hAnsi="Times New Roman"/>
          <w:sz w:val="28"/>
          <w:szCs w:val="28"/>
          <w:lang w:val="en-US"/>
        </w:rPr>
        <w:t xml:space="preserve">Salomlashish , Xona tozaligini tekshirish Davomat olish , Uyga vazifa soʻrash Oʻtilgan mavzuni takroshlash </w:t>
      </w:r>
    </w:p>
    <w:p>
      <w:pPr>
        <w:pStyle w:val="style0"/>
        <w:numPr>
          <w:ilvl w:val="0"/>
          <w:numId w:val="6"/>
        </w:numPr>
        <w:autoSpaceDE w:val="false"/>
        <w:autoSpaceDN w:val="false"/>
        <w:spacing w:after="0" w:lineRule="auto" w:line="240"/>
        <w:jc w:val="both"/>
        <w:rPr>
          <w:rFonts w:ascii="Times New Roman" w:cs="Times New Roman" w:hAnsi="Times New Roman"/>
          <w:sz w:val="28"/>
          <w:szCs w:val="28"/>
          <w:lang w:val="en-US"/>
        </w:rPr>
      </w:pPr>
      <w:r>
        <w:rPr>
          <w:rFonts w:ascii="Times New Roman" w:cs="Times New Roman" w:hAnsi="Times New Roman"/>
          <w:sz w:val="28"/>
          <w:szCs w:val="28"/>
          <w:lang w:val="en-US"/>
        </w:rPr>
        <w:t>Oʻquvchilarnini laboratoriya mashg‘ulotining maqsadi, borishi, mustaqil bajariladigan o‘quv topshiriqlari bilan tanishtirish.</w:t>
      </w:r>
    </w:p>
    <w:p>
      <w:pPr>
        <w:pStyle w:val="style0"/>
        <w:rPr>
          <w:b/>
          <w:bCs/>
          <w:color w:val="000000"/>
          <w:sz w:val="22"/>
          <w:szCs w:val="22"/>
        </w:rPr>
      </w:pPr>
      <w:r>
        <w:rPr>
          <w:b/>
          <w:bCs/>
          <w:lang w:val="en-US"/>
        </w:rPr>
        <w:t xml:space="preserve">3. Oʻtilgan mavzuni </w:t>
      </w:r>
      <w:r>
        <w:rPr>
          <w:b/>
          <w:bCs/>
          <w:sz w:val="21"/>
          <w:szCs w:val="21"/>
          <w:lang w:val="en-US"/>
        </w:rPr>
        <w:t xml:space="preserve">takrorlashda </w:t>
      </w:r>
      <w:r>
        <w:rPr>
          <w:b/>
          <w:bCs/>
          <w:color w:val="000000"/>
          <w:sz w:val="22"/>
          <w:szCs w:val="22"/>
          <w:lang w:val="en-US"/>
        </w:rPr>
        <w:t>"Olovli koptokcha " metodidan foydalanish 5 minut</w:t>
      </w:r>
    </w:p>
    <w:p>
      <w:pPr>
        <w:pStyle w:val="style0"/>
        <w:rPr/>
      </w:pPr>
    </w:p>
    <w:p>
      <w:pPr>
        <w:pStyle w:val="style0"/>
        <w:rPr/>
      </w:pPr>
    </w:p>
    <w:p>
      <w:pPr>
        <w:pStyle w:val="style0"/>
        <w:rPr>
          <w:b/>
          <w:bCs/>
          <w:color w:val="000000"/>
          <w:sz w:val="22"/>
          <w:szCs w:val="22"/>
        </w:rPr>
      </w:pPr>
      <w:r>
        <w:rPr/>
        <w:drawing>
          <wp:inline distL="0" distT="0" distB="0" distR="0">
            <wp:extent cx="2959100" cy="1972733"/>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59100" cy="1972733"/>
                    </a:xfrm>
                    <a:prstGeom prst="rect"/>
                  </pic:spPr>
                </pic:pic>
              </a:graphicData>
            </a:graphic>
          </wp:inline>
        </w:drawing>
      </w:r>
      <w:r>
        <w:rPr/>
        <w:drawing>
          <wp:inline distL="0" distT="0" distB="0" distR="0">
            <wp:extent cx="2959100" cy="196124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59100" cy="1961241"/>
                    </a:xfrm>
                    <a:prstGeom prst="rect"/>
                  </pic:spPr>
                </pic:pic>
              </a:graphicData>
            </a:graphic>
          </wp:inline>
        </w:drawing>
      </w:r>
    </w:p>
    <w:p>
      <w:pPr>
        <w:pStyle w:val="style0"/>
        <w:rPr>
          <w:b/>
          <w:bCs/>
          <w:color w:val="000000"/>
          <w:sz w:val="22"/>
          <w:szCs w:val="22"/>
        </w:rPr>
      </w:pPr>
      <w:r>
        <w:rPr>
          <w:b/>
          <w:bCs/>
          <w:color w:val="000000"/>
          <w:sz w:val="22"/>
          <w:szCs w:val="22"/>
          <w:lang w:val="en-US"/>
        </w:rPr>
        <w:t xml:space="preserve">Bunda oʻqituvchi qoʻlida koptokcha bilan oʻtgan mavzu yuzasidan tezkor savol javoblar oʻtkazadi . Har bir savol berilgan paytda oʻqituvchi koptokchani oʻquvchilarga otadi . Koprokcha olgan oʻquvchi tezlik bilan savolga javob berishi kerak boʻladi . Tezlik bilan javob bermasa olovli koptokchamiz oʻquvchilar qoʻlini kuydirib qoyishi mumkin . </w:t>
      </w:r>
    </w:p>
    <w:p>
      <w:pPr>
        <w:pStyle w:val="style0"/>
        <w:rPr>
          <w:b/>
          <w:bCs/>
          <w:color w:val="000000"/>
          <w:sz w:val="22"/>
          <w:szCs w:val="22"/>
        </w:rPr>
      </w:pPr>
      <w:r>
        <w:rPr>
          <w:b/>
          <w:bCs/>
          <w:color w:val="000000"/>
          <w:sz w:val="22"/>
          <w:szCs w:val="22"/>
          <w:highlight w:val="red"/>
          <w:lang w:val="en-US"/>
        </w:rPr>
        <w:t xml:space="preserve">Asosiy qism : </w:t>
      </w:r>
      <w:r>
        <w:rPr>
          <w:b/>
          <w:bCs/>
          <w:color w:val="000000"/>
          <w:sz w:val="22"/>
          <w:szCs w:val="22"/>
          <w:lang w:val="en-US"/>
        </w:rPr>
        <w:t xml:space="preserve">Oʻtilgan mavzuni takrorlab boʻlgach : Odam organizmi ayirish sistemasi boʻyicha oʻquvchilarga tushunchalar berib oʻtiladi . 25 minut . </w:t>
      </w:r>
    </w:p>
    <w:p>
      <w:pPr>
        <w:pStyle w:val="style0"/>
        <w:rPr>
          <w:b/>
          <w:bCs/>
          <w:color w:val="000000"/>
          <w:sz w:val="22"/>
          <w:szCs w:val="22"/>
        </w:rPr>
      </w:pPr>
      <w:r>
        <w:rPr>
          <w:b/>
          <w:bCs/>
          <w:color w:val="000000"/>
          <w:sz w:val="22"/>
          <w:szCs w:val="22"/>
          <w:lang w:val="en-US"/>
        </w:rPr>
        <w:t xml:space="preserve">Odam organizmida siydik ayirish sistemasi tushuntirilayotganda tayyorlangan maket yordamida oʻquvchilarga tajriba asosida tushuntirib oʻtiladi . Bunda penoplast , rangli </w:t>
      </w:r>
      <w:r>
        <w:rPr/>
        <w:drawing>
          <wp:inline distL="0" distT="0" distB="0" distR="0">
            <wp:extent cx="2959100" cy="3974447"/>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959100" cy="3974447"/>
                    </a:xfrm>
                    <a:prstGeom prst="rect"/>
                  </pic:spPr>
                </pic:pic>
              </a:graphicData>
            </a:graphic>
          </wp:inline>
        </w:drawing>
      </w:r>
    </w:p>
    <w:p>
      <w:pPr>
        <w:pStyle w:val="style0"/>
        <w:rPr>
          <w:b/>
          <w:bCs/>
          <w:color w:val="000000"/>
          <w:sz w:val="22"/>
          <w:szCs w:val="22"/>
        </w:rPr>
      </w:pPr>
      <w:r>
        <w:rPr>
          <w:b/>
          <w:bCs/>
          <w:color w:val="000000"/>
          <w:sz w:val="22"/>
          <w:szCs w:val="22"/>
          <w:lang w:val="en-US"/>
        </w:rPr>
        <w:t xml:space="preserve">Plastilinlar , A4 format , plastik idishning bir qismi va shlangchalar orqali qoʻlda tayyorlangan maketimizdan foydalanamiz . </w:t>
      </w:r>
    </w:p>
    <w:p>
      <w:pPr>
        <w:pStyle w:val="style0"/>
        <w:rPr>
          <w:b/>
          <w:bCs/>
          <w:color w:val="000000"/>
          <w:sz w:val="22"/>
          <w:szCs w:val="22"/>
        </w:rPr>
      </w:pPr>
      <w:r>
        <w:rPr>
          <w:b/>
          <w:bCs/>
          <w:color w:val="000000"/>
          <w:sz w:val="22"/>
          <w:szCs w:val="22"/>
          <w:lang w:val="en-US"/>
        </w:rPr>
        <w:t xml:space="preserve">Dars davomida hayvon buyragidan preparat tayyorlab mikroskop ostida kuzatish olib boriladi . Bunda har bir oʻquvchi buyrak toʻqimasi hujayralari bilan tanishishadi . </w:t>
      </w:r>
    </w:p>
    <w:p>
      <w:pPr>
        <w:pStyle w:val="style0"/>
        <w:rPr>
          <w:b/>
          <w:bCs/>
          <w:color w:val="000000"/>
          <w:sz w:val="22"/>
          <w:szCs w:val="22"/>
        </w:rPr>
      </w:pPr>
      <w:r>
        <w:rPr>
          <w:b/>
          <w:bCs/>
          <w:color w:val="000000"/>
          <w:sz w:val="22"/>
          <w:szCs w:val="22"/>
          <w:lang w:val="en-US"/>
        </w:rPr>
        <w:t xml:space="preserve">Amaliy mashgʻulotimizda oʻquvchilar oʻzlari siydik ayirish sistemasi organlari modelini yasashadi . </w:t>
      </w:r>
    </w:p>
    <w:p>
      <w:pPr>
        <w:pStyle w:val="style0"/>
        <w:rPr>
          <w:b/>
          <w:bCs/>
          <w:color w:val="000000"/>
          <w:sz w:val="22"/>
          <w:szCs w:val="22"/>
          <w:lang w:val="en-US"/>
        </w:rPr>
      </w:pPr>
      <w:r>
        <w:rPr>
          <w:b/>
          <w:bCs/>
          <w:color w:val="000000"/>
          <w:sz w:val="22"/>
          <w:szCs w:val="22"/>
          <w:lang w:val="en-US"/>
        </w:rPr>
        <w:t>1. Po‘kakdan uzunligi 10 cm, eni 5 cm, qalinligi 1 cm ga teng bo‘lakni oling. Po‘kakka loviya shaklidagi o‘ng va chap buyraklar, buyragusti bezi shaklini chizing hamda qirqib, dastlabki buyrak namunasini tayyorlang.</w:t>
      </w:r>
    </w:p>
    <w:p>
      <w:pPr>
        <w:pStyle w:val="style0"/>
        <w:rPr>
          <w:b/>
          <w:bCs/>
          <w:color w:val="000000"/>
          <w:sz w:val="22"/>
          <w:szCs w:val="22"/>
          <w:lang w:val="en-US"/>
        </w:rPr>
      </w:pPr>
      <w:r>
        <w:rPr>
          <w:b/>
          <w:bCs/>
          <w:color w:val="000000"/>
          <w:sz w:val="22"/>
          <w:szCs w:val="22"/>
          <w:lang w:val="en-US"/>
        </w:rPr>
        <w:t>2. Qontomirlarni yasash uchun uzunligi 15 cm, eni 15 cm bo‘lgan po‘kakka pastki qismi ikkiga ayrilgan qontomirlar rasmini chizing va uni qirqing. Qontomirlarning biri ikkinchisining bir tarmog‘i bilan kesishgani sababli bir tarmoq kesiladi, so‘ng yelim bilan joylashtiriladi.</w:t>
      </w:r>
    </w:p>
    <w:p>
      <w:pPr>
        <w:pStyle w:val="style0"/>
        <w:rPr>
          <w:b/>
          <w:bCs/>
          <w:color w:val="000000"/>
          <w:sz w:val="22"/>
          <w:szCs w:val="22"/>
          <w:lang w:val="en-US"/>
        </w:rPr>
      </w:pPr>
      <w:r>
        <w:rPr>
          <w:b/>
          <w:bCs/>
          <w:color w:val="000000"/>
          <w:sz w:val="22"/>
          <w:szCs w:val="22"/>
          <w:lang w:val="en-US"/>
        </w:rPr>
        <w:t xml:space="preserve">3. Po‘kakdan uzunligi 12 cm, eni 9 cm, qalinligi 1 cm bo‘lgan qismini qo‘lingizga oling va siydik pufagining rasmini chizing. Siydik pufagi shakli saqlangan qismini qirqib oling. </w:t>
      </w:r>
      <w:r>
        <w:rPr>
          <w:b/>
          <w:bCs/>
          <w:color w:val="000000"/>
          <w:sz w:val="22"/>
          <w:szCs w:val="22"/>
          <w:lang w:val="en-US"/>
        </w:rPr>
        <w:cr/>
      </w:r>
      <w:r>
        <w:rPr>
          <w:b/>
          <w:bCs/>
          <w:color w:val="000000"/>
          <w:sz w:val="22"/>
          <w:szCs w:val="22"/>
          <w:lang w:val="en-US"/>
        </w:rPr>
        <w:t>4. Siydik pufagining o‘rta qismini kosasimon qilib qirqing. So‘ng siydik chiqarish kanalini hosil qiling.</w:t>
      </w:r>
      <w:r>
        <w:rPr>
          <w:b/>
          <w:bCs/>
          <w:color w:val="000000"/>
          <w:sz w:val="22"/>
          <w:szCs w:val="22"/>
          <w:lang w:val="en-US"/>
        </w:rPr>
        <w:cr/>
      </w:r>
      <w:r>
        <w:rPr>
          <w:b/>
          <w:bCs/>
          <w:color w:val="000000"/>
          <w:sz w:val="22"/>
          <w:szCs w:val="22"/>
          <w:lang w:val="en-US"/>
        </w:rPr>
        <w:t xml:space="preserve">5. Qolgan po‘kakdan ikkita siydik chiqarish kanalini qirqib oling. </w:t>
      </w:r>
    </w:p>
    <w:p>
      <w:pPr>
        <w:pStyle w:val="style0"/>
        <w:rPr>
          <w:b/>
          <w:bCs/>
          <w:color w:val="000000"/>
          <w:sz w:val="22"/>
          <w:szCs w:val="22"/>
          <w:lang w:val="en-US"/>
        </w:rPr>
      </w:pPr>
      <w:r>
        <w:rPr>
          <w:b/>
          <w:bCs/>
          <w:color w:val="000000"/>
          <w:sz w:val="22"/>
          <w:szCs w:val="22"/>
          <w:lang w:val="en-US"/>
        </w:rPr>
        <w:t>6. To‘rtta egiluvchan simga qog‘ozni bir necha qavat qilib o‘rab, yopishtirib qo‘ying. Undan har bir buyrakka kiruvchi va chiquvchi arteriya va vena qontomirlari sifatida foydalaning.</w:t>
      </w:r>
      <w:r>
        <w:rPr>
          <w:b/>
          <w:bCs/>
          <w:color w:val="000000"/>
          <w:sz w:val="22"/>
          <w:szCs w:val="22"/>
          <w:lang w:val="en-US"/>
        </w:rPr>
        <w:cr/>
      </w:r>
      <w:r>
        <w:rPr>
          <w:b/>
          <w:bCs/>
          <w:color w:val="000000"/>
          <w:sz w:val="22"/>
          <w:szCs w:val="22"/>
          <w:lang w:val="en-US"/>
        </w:rPr>
        <w:t xml:space="preserve">7. Shundan so‘ng har bir siydik ayirish organini namunada berilgan ranglarga mos holda rangli bo‘yoqlar bilan bo‘yang. </w:t>
      </w:r>
      <w:r>
        <w:rPr>
          <w:b/>
          <w:bCs/>
          <w:color w:val="000000"/>
          <w:sz w:val="22"/>
          <w:szCs w:val="22"/>
          <w:lang w:val="en-US"/>
        </w:rPr>
        <w:cr/>
      </w:r>
      <w:r>
        <w:rPr>
          <w:b/>
          <w:bCs/>
          <w:color w:val="000000"/>
          <w:sz w:val="22"/>
          <w:szCs w:val="22"/>
          <w:lang w:val="en-US"/>
        </w:rPr>
        <w:t>8. Har bir buyrakka kiruvchi arteriya va vena qontomirlarini namunadagidek qilib o‘rnating.</w:t>
      </w:r>
      <w:r>
        <w:rPr>
          <w:b/>
          <w:bCs/>
          <w:color w:val="000000"/>
          <w:sz w:val="22"/>
          <w:szCs w:val="22"/>
          <w:lang w:val="en-US"/>
        </w:rPr>
        <w:cr/>
      </w:r>
      <w:r>
        <w:rPr>
          <w:b/>
          <w:bCs/>
          <w:color w:val="000000"/>
          <w:sz w:val="22"/>
          <w:szCs w:val="22"/>
          <w:lang w:val="en-US"/>
        </w:rPr>
        <w:t>9. Siydik yo‘llarini buyraklar va siydik pufagi bilan birlashtiring.</w:t>
      </w:r>
    </w:p>
    <w:p>
      <w:pPr>
        <w:pStyle w:val="style0"/>
        <w:rPr>
          <w:b/>
          <w:bCs/>
          <w:color w:val="000000"/>
          <w:sz w:val="22"/>
          <w:szCs w:val="22"/>
        </w:rPr>
      </w:pPr>
      <w:r>
        <w:rPr>
          <w:b/>
          <w:bCs/>
          <w:color w:val="000000"/>
          <w:sz w:val="22"/>
          <w:szCs w:val="22"/>
          <w:lang w:val="en-US"/>
        </w:rPr>
        <w:t>10. Hosil bo‘lgan modelni biror qattiq kartonga joylashtiring</w:t>
      </w:r>
    </w:p>
    <w:p>
      <w:pPr>
        <w:pStyle w:val="style0"/>
        <w:rPr>
          <w:b/>
          <w:bCs/>
          <w:color w:val="000000"/>
          <w:sz w:val="22"/>
          <w:szCs w:val="22"/>
        </w:rPr>
      </w:pPr>
      <w:r>
        <w:rPr/>
        <w:drawing>
          <wp:inline distL="0" distT="0" distB="0" distR="0">
            <wp:extent cx="5607954" cy="2736494"/>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5607954" cy="2736494"/>
                    </a:xfrm>
                    <a:prstGeom prst="rect"/>
                  </pic:spPr>
                </pic:pic>
              </a:graphicData>
            </a:graphic>
          </wp:inline>
        </w:drawing>
      </w:r>
    </w:p>
    <w:p>
      <w:pPr>
        <w:pStyle w:val="style0"/>
        <w:rPr>
          <w:b/>
          <w:bCs/>
          <w:color w:val="000000"/>
          <w:sz w:val="22"/>
          <w:szCs w:val="22"/>
        </w:rPr>
      </w:pPr>
      <w:r>
        <w:rPr>
          <w:b/>
          <w:bCs/>
          <w:color w:val="000000"/>
          <w:sz w:val="22"/>
          <w:szCs w:val="22"/>
          <w:lang w:val="en-US"/>
        </w:rPr>
        <w:t>Oʻtilgan amaliy mashgʻulotni takrorlash yuzasidan qiziqarli , interfaol metodlardan foydalanamiz .</w:t>
      </w:r>
    </w:p>
    <w:p>
      <w:pPr>
        <w:pStyle w:val="style0"/>
        <w:rPr>
          <w:b/>
          <w:bCs/>
          <w:color w:val="000000"/>
          <w:sz w:val="22"/>
          <w:szCs w:val="22"/>
          <w:highlight w:val="none"/>
          <w:lang w:val="en-US"/>
        </w:rPr>
      </w:pPr>
      <w:r>
        <w:rPr>
          <w:b/>
          <w:bCs/>
          <w:color w:val="000000"/>
          <w:sz w:val="22"/>
          <w:szCs w:val="22"/>
          <w:highlight w:val="red"/>
          <w:lang w:val="en-US"/>
        </w:rPr>
        <w:t>Chaqqon nefronchalar metodi</w:t>
      </w:r>
    </w:p>
    <w:p>
      <w:pPr>
        <w:pStyle w:val="style0"/>
        <w:rPr>
          <w:b/>
          <w:bCs/>
          <w:color w:val="000000"/>
          <w:sz w:val="22"/>
          <w:szCs w:val="22"/>
          <w:highlight w:val="none"/>
        </w:rPr>
      </w:pPr>
      <w:r>
        <w:rPr>
          <w:b/>
          <w:bCs/>
          <w:color w:val="000000"/>
          <w:sz w:val="22"/>
          <w:szCs w:val="22"/>
          <w:highlight w:val="none"/>
          <w:lang w:val="en-US"/>
        </w:rPr>
        <w:t xml:space="preserve">5 minut </w:t>
      </w:r>
    </w:p>
    <w:p>
      <w:pPr>
        <w:pStyle w:val="style0"/>
        <w:rPr>
          <w:b/>
          <w:bCs/>
          <w:color w:val="000000"/>
          <w:sz w:val="22"/>
          <w:szCs w:val="22"/>
          <w:highlight w:val="none"/>
        </w:rPr>
      </w:pPr>
    </w:p>
    <w:p>
      <w:pPr>
        <w:pStyle w:val="style0"/>
        <w:rPr>
          <w:b/>
          <w:bCs/>
          <w:color w:val="000000"/>
          <w:sz w:val="22"/>
          <w:szCs w:val="22"/>
        </w:rPr>
      </w:pPr>
      <w:r>
        <w:rPr/>
        <w:drawing>
          <wp:inline distL="114300" distT="0" distB="0" distR="114300">
            <wp:extent cx="2959100" cy="1972733"/>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2959100" cy="1972733"/>
                    </a:xfrm>
                    <a:prstGeom prst="rect"/>
                  </pic:spPr>
                </pic:pic>
              </a:graphicData>
            </a:graphic>
          </wp:inline>
        </w:drawing>
      </w:r>
    </w:p>
    <w:p>
      <w:pPr>
        <w:pStyle w:val="style0"/>
        <w:rPr>
          <w:b/>
          <w:bCs/>
          <w:color w:val="000000"/>
          <w:sz w:val="22"/>
          <w:szCs w:val="22"/>
        </w:rPr>
      </w:pPr>
      <w:r>
        <w:rPr>
          <w:b/>
          <w:bCs/>
          <w:color w:val="000000"/>
          <w:sz w:val="22"/>
          <w:szCs w:val="22"/>
          <w:lang w:val="en-US"/>
        </w:rPr>
        <w:t xml:space="preserve">Bu metodimizda Sinfni 3 ta guruhga boʻlib olamiz . Har bir guruhdan bittadan oʻquvchilar chiqib nefronchalar ortiga yashiringan savollarga javob berib oʻz guruhlari uchun ajratilgan buyraklarga yopishtirishadi. Qaysi guruhda eng koʻp nefronlar yigʻilsa oʻsha guruh sogʻlom buyrakcha naminatsiyasini oladi va gʻolib boʻladi . </w:t>
      </w:r>
    </w:p>
    <w:p>
      <w:pPr>
        <w:pStyle w:val="style0"/>
        <w:rPr>
          <w:b/>
          <w:bCs/>
          <w:color w:val="000000"/>
          <w:sz w:val="22"/>
          <w:szCs w:val="22"/>
        </w:rPr>
      </w:pPr>
      <w:r>
        <w:rPr>
          <w:b/>
          <w:bCs/>
          <w:color w:val="000000"/>
          <w:sz w:val="22"/>
          <w:szCs w:val="22"/>
          <w:lang w:val="en-US"/>
        </w:rPr>
        <w:t>Keyingi metodimiz. 5 minut</w:t>
      </w:r>
    </w:p>
    <w:p>
      <w:pPr>
        <w:pStyle w:val="style0"/>
        <w:rPr>
          <w:b/>
          <w:bCs/>
          <w:color w:val="000000"/>
          <w:sz w:val="22"/>
          <w:szCs w:val="22"/>
          <w:highlight w:val="red"/>
        </w:rPr>
      </w:pPr>
      <w:r>
        <w:rPr>
          <w:b/>
          <w:bCs/>
          <w:color w:val="000000"/>
          <w:sz w:val="22"/>
          <w:szCs w:val="22"/>
          <w:highlight w:val="red"/>
          <w:lang w:val="en-US"/>
        </w:rPr>
        <w:t xml:space="preserve">Kim chaqqon metodi . </w:t>
      </w:r>
    </w:p>
    <w:p>
      <w:pPr>
        <w:pStyle w:val="style0"/>
        <w:rPr>
          <w:b/>
          <w:bCs/>
          <w:color w:val="000000"/>
          <w:sz w:val="22"/>
          <w:szCs w:val="22"/>
          <w:highlight w:val="none"/>
        </w:rPr>
      </w:pPr>
      <w:r>
        <w:rPr>
          <w:b/>
          <w:bCs/>
          <w:color w:val="000000"/>
          <w:sz w:val="22"/>
          <w:szCs w:val="22"/>
          <w:highlight w:val="none"/>
          <w:lang w:val="en-US"/>
        </w:rPr>
        <w:t>Bu metodimizda 3 ta guruhga Protonefridiy, Metanefridiy va Malpigi ayirish sistemasi rasmlari tushirilgan listlar beriladi . Har bir guruh oʻziga tushgan ayirish sistemasi haqida maʼlumot yozadi . Qaysi guruhda malumotlar soni koʻp boʻlsa oʻsha guruh aʼzolari gʻolib boʻlishadi .</w:t>
      </w:r>
    </w:p>
    <w:p>
      <w:pPr>
        <w:pStyle w:val="style0"/>
        <w:rPr/>
      </w:pPr>
    </w:p>
    <w:p>
      <w:pPr>
        <w:pStyle w:val="style0"/>
        <w:rPr>
          <w:b/>
          <w:bCs/>
          <w:color w:val="000000"/>
          <w:sz w:val="22"/>
          <w:szCs w:val="22"/>
          <w:highlight w:val="none"/>
        </w:rPr>
      </w:pPr>
      <w:r>
        <w:rPr/>
        <w:drawing>
          <wp:inline distL="114300" distT="0" distB="0" distR="114300">
            <wp:extent cx="1390628" cy="1990694"/>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1390628" cy="1990694"/>
                    </a:xfrm>
                    <a:prstGeom prst="rect"/>
                  </pic:spPr>
                </pic:pic>
              </a:graphicData>
            </a:graphic>
          </wp:inline>
        </w:drawing>
      </w:r>
      <w:r>
        <w:rPr/>
        <w:drawing>
          <wp:inline distL="114300" distT="0" distB="0" distR="114300">
            <wp:extent cx="2959100" cy="284109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2959100" cy="2841099"/>
                    </a:xfrm>
                    <a:prstGeom prst="rect"/>
                  </pic:spPr>
                </pic:pic>
              </a:graphicData>
            </a:graphic>
          </wp:inline>
        </w:drawing>
      </w:r>
      <w:r>
        <w:rPr/>
        <w:drawing>
          <wp:inline distL="114300" distT="0" distB="0" distR="114300">
            <wp:extent cx="1457302" cy="1924020"/>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1457302" cy="1924020"/>
                    </a:xfrm>
                    <a:prstGeom prst="rect"/>
                  </pic:spPr>
                </pic:pic>
              </a:graphicData>
            </a:graphic>
          </wp:inline>
        </w:drawing>
      </w:r>
    </w:p>
    <w:p>
      <w:pPr>
        <w:pStyle w:val="style0"/>
        <w:rPr>
          <w:b/>
          <w:bCs/>
          <w:color w:val="000000"/>
          <w:sz w:val="22"/>
          <w:szCs w:val="22"/>
        </w:rPr>
      </w:pPr>
      <w:r>
        <w:rPr>
          <w:b/>
          <w:bCs/>
          <w:color w:val="000000"/>
          <w:sz w:val="22"/>
          <w:szCs w:val="22"/>
          <w:lang w:val="en-US"/>
        </w:rPr>
        <w:t xml:space="preserve">5 minut . Darsimiz yakunida oʻquvchilardan oʻtilgan amaliy mashgʻulot davomidagi xulosalar eshitiladi va oʻquvchilar adolatli baholanadi . Uyga vazifalar berilib dars yakunlanadi . </w:t>
      </w:r>
    </w:p>
    <w:p>
      <w:pPr>
        <w:pStyle w:val="style0"/>
        <w:rPr>
          <w:b/>
          <w:bCs/>
          <w:color w:val="000000"/>
          <w:sz w:val="22"/>
          <w:szCs w:val="22"/>
        </w:rPr>
      </w:pPr>
    </w:p>
    <w:p>
      <w:pPr>
        <w:pStyle w:val="style0"/>
        <w:rPr>
          <w:b/>
          <w:bCs/>
          <w:color w:val="000000"/>
          <w:sz w:val="22"/>
          <w:szCs w:val="22"/>
        </w:rPr>
      </w:pPr>
    </w:p>
    <w:p>
      <w:pPr>
        <w:pStyle w:val="style0"/>
        <w:rPr>
          <w:b/>
          <w:bCs/>
          <w:color w:val="000000"/>
          <w:sz w:val="22"/>
          <w:szCs w:val="22"/>
        </w:rPr>
      </w:pPr>
    </w:p>
    <w:p>
      <w:pPr>
        <w:pStyle w:val="style0"/>
        <w:rPr>
          <w:b/>
          <w:bCs/>
          <w:color w:val="000000"/>
          <w:sz w:val="22"/>
          <w:szCs w:val="22"/>
        </w:rPr>
      </w:pPr>
      <w:r>
        <w:rPr>
          <w:b/>
          <w:bCs/>
          <w:color w:val="000000"/>
          <w:sz w:val="22"/>
          <w:szCs w:val="22"/>
          <w:lang w:val="en-US"/>
        </w:rPr>
        <w:t xml:space="preserve">Oʻqituvchilar :   JABBOROVA SARVINOZ , JUMANAZAROVA MUNISA , HAQQULOVA UMIDA </w:t>
      </w:r>
    </w:p>
    <w:p>
      <w:pPr>
        <w:pStyle w:val="style0"/>
        <w:rPr>
          <w:b/>
          <w:bCs/>
          <w:color w:val="000000"/>
          <w:sz w:val="22"/>
          <w:szCs w:val="22"/>
        </w:rPr>
      </w:pPr>
    </w:p>
    <w:p>
      <w:pPr>
        <w:pStyle w:val="style0"/>
        <w:rPr>
          <w:b/>
          <w:bCs/>
          <w:color w:val="000000"/>
          <w:sz w:val="22"/>
          <w:szCs w:val="22"/>
        </w:rPr>
      </w:pPr>
    </w:p>
    <w:sectPr>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cc"/>
    <w:family w:val="roman"/>
    <w:pitch w:val="variable"/>
    <w:sig w:usb0="E0002EFF" w:usb1="C000785B" w:usb2="00000009" w:usb3="00000000" w:csb0="000001FF" w:csb1="00000000"/>
  </w:font>
  <w:font w:name="Calibri">
    <w:altName w:val="Calibri"/>
    <w:panose1 w:val="020f0502020000030204"/>
    <w:charset w:val="cc"/>
    <w:family w:val="swiss"/>
    <w:pitch w:val="variable"/>
    <w:sig w:usb0="E4002EFF" w:usb1="C000247B" w:usb2="00000009" w:usb3="00000000" w:csb0="000001FF" w:csb1="00000000"/>
  </w:font>
  <w:font w:name="Cambria">
    <w:altName w:val="Cambria"/>
    <w:panose1 w:val="02040503050000030204"/>
    <w:charset w:val="cc"/>
    <w:family w:val="roman"/>
    <w:pitch w:val="variable"/>
    <w:sig w:usb0="E00002FF" w:usb1="400004FF" w:usb2="00000000" w:usb3="00000000" w:csb0="0000019F" w:csb1="00000000"/>
  </w:font>
  <w:font w:name="PANDA Times UZ">
    <w:altName w:val="Arial Narrow"/>
    <w:panose1 w:val="00000000000000000000"/>
    <w:charset w:val="00"/>
    <w:family w:val="swiss"/>
    <w:pitch w:val="variable"/>
    <w:sig w:usb0="00000203" w:usb1="00000000" w:usb2="00000000" w:usb3="00000000" w:csb0="00000005" w:csb1="00000000"/>
  </w:font>
  <w:font w:name="Calibri Light">
    <w:altName w:val="Calibri Light"/>
    <w:panose1 w:val="020f0302020000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1">
    <w:nsid w:val="00000001"/>
    <w:multiLevelType w:val="singleLevel"/>
    <w:tmpl w:val="0419000F"/>
    <w:lvl w:ilvl="0">
      <w:start w:val="1"/>
      <w:numFmt w:val="decimal"/>
      <w:lvlText w:val="%1."/>
      <w:lvlJc w:val="left"/>
      <w:pPr>
        <w:tabs>
          <w:tab w:val="left" w:leader="none" w:pos="720"/>
        </w:tabs>
        <w:ind w:left="720" w:hanging="360"/>
      </w:pPr>
      <w:rPr>
        <w:rFonts w:cs="Times New Roman"/>
      </w:rPr>
    </w:lvl>
  </w:abstractNum>
  <w:abstractNum w:abstractNumId="2">
    <w:nsid w:val="00000002"/>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3">
    <w:nsid w:val="00000003"/>
    <w:multiLevelType w:val="singleLevel"/>
    <w:tmpl w:val="462A0B06"/>
    <w:lvl w:ilvl="0">
      <w:start w:val="1"/>
      <w:numFmt w:val="decimal"/>
      <w:lvlText w:val="%1."/>
      <w:lvlJc w:val="left"/>
      <w:pPr>
        <w:tabs>
          <w:tab w:val="left" w:leader="none" w:pos="405"/>
        </w:tabs>
        <w:ind w:left="405" w:hanging="405"/>
      </w:pPr>
      <w:rPr>
        <w:rFonts w:cs="Times New Roman" w:hint="default"/>
      </w:rPr>
    </w:lvl>
  </w:abstractNum>
  <w:abstractNum w:abstractNumId="4">
    <w:nsid w:val="00000004"/>
    <w:multiLevelType w:val="singleLevel"/>
    <w:tmpl w:val="CE02B58A"/>
    <w:lvl w:ilvl="0">
      <w:start w:val="1"/>
      <w:numFmt w:val="decimal"/>
      <w:lvlText w:val="%1."/>
      <w:lvlJc w:val="left"/>
      <w:pPr>
        <w:tabs>
          <w:tab w:val="left" w:leader="none" w:pos="360"/>
        </w:tabs>
        <w:ind w:left="360" w:hanging="360"/>
      </w:pPr>
      <w:rPr>
        <w:rFonts w:cs="Times New Roman" w:hint="default"/>
      </w:rPr>
    </w:lvl>
  </w:abstractNum>
  <w:abstractNum w:abstractNumId="5">
    <w:nsid w:val="00000005"/>
    <w:multiLevelType w:val="singleLevel"/>
    <w:tmpl w:val="0419000F"/>
    <w:lvl w:ilvl="0">
      <w:start w:val="1"/>
      <w:numFmt w:val="decimal"/>
      <w:lvlText w:val="%1."/>
      <w:lvlJc w:val="left"/>
      <w:pPr>
        <w:tabs>
          <w:tab w:val="left" w:leader="none" w:pos="360"/>
        </w:tabs>
        <w:ind w:left="360" w:hanging="360"/>
      </w:pPr>
      <w:rPr>
        <w:rFonts w:cs="Times New Roman"/>
      </w:rPr>
    </w:lvl>
  </w:abstractNum>
  <w:abstractNum w:abstractNumId="6">
    <w:nsid w:val="00000006"/>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7">
    <w:nsid w:val="00000007"/>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8">
    <w:nsid w:val="00000008"/>
    <w:multiLevelType w:val="singleLevel"/>
    <w:tmpl w:val="04190001"/>
    <w:lvl w:ilvl="0">
      <w:start w:val="1"/>
      <w:numFmt w:val="bullet"/>
      <w:lvlText w:val=""/>
      <w:lvlJc w:val="left"/>
      <w:pPr>
        <w:tabs>
          <w:tab w:val="left" w:leader="none" w:pos="720"/>
        </w:tabs>
        <w:ind w:left="720" w:hanging="360"/>
      </w:pPr>
      <w:rPr>
        <w:rFonts w:ascii="Symbol" w:hAnsi="Symbol" w:hint="default"/>
      </w:rPr>
    </w:lvl>
  </w:abstractNum>
  <w:abstractNum w:abstractNumId="9">
    <w:nsid w:val="00000009"/>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10">
    <w:nsid w:val="0000000A"/>
    <w:multiLevelType w:val="singleLevel"/>
    <w:tmpl w:val="0419000F"/>
    <w:lvl w:ilvl="0">
      <w:start w:val="1"/>
      <w:numFmt w:val="decimal"/>
      <w:lvlText w:val="%1."/>
      <w:lvlJc w:val="left"/>
      <w:pPr>
        <w:tabs>
          <w:tab w:val="left" w:leader="none" w:pos="720"/>
        </w:tabs>
        <w:ind w:left="720" w:hanging="360"/>
      </w:pPr>
      <w:rPr>
        <w:rFonts w:cs="Times New Roman"/>
      </w:rPr>
    </w:lvl>
  </w:abstractNum>
  <w:abstractNum w:abstractNumId="11">
    <w:nsid w:val="0000000B"/>
    <w:multiLevelType w:val="singleLevel"/>
    <w:tmpl w:val="04190001"/>
    <w:lvl w:ilvl="0">
      <w:start w:val="1"/>
      <w:numFmt w:val="bullet"/>
      <w:lvlText w:val=""/>
      <w:lvlJc w:val="left"/>
      <w:pPr>
        <w:tabs>
          <w:tab w:val="left" w:leader="none" w:pos="360"/>
        </w:tabs>
        <w:ind w:left="360" w:hanging="360"/>
      </w:pPr>
      <w:rPr>
        <w:rFonts w:ascii="Symbol" w:hAnsi="Symbol" w:hint="default"/>
      </w:rPr>
    </w:lvl>
  </w:abstractNum>
  <w:abstractNum w:abstractNumId="12">
    <w:nsid w:val="0000000C"/>
    <w:multiLevelType w:val="singleLevel"/>
    <w:tmpl w:val="CE02B58A"/>
    <w:lvl w:ilvl="0">
      <w:start w:val="1"/>
      <w:numFmt w:val="decimal"/>
      <w:lvlText w:val="%1."/>
      <w:lvlJc w:val="left"/>
      <w:pPr>
        <w:tabs>
          <w:tab w:val="left" w:leader="none" w:pos="360"/>
        </w:tabs>
        <w:ind w:left="360" w:hanging="360"/>
      </w:pPr>
      <w:rPr>
        <w:rFonts w:cs="Times New Roman" w:hint="default"/>
      </w:rPr>
    </w:lvl>
  </w:abstractNum>
  <w:num w:numId="1">
    <w:abstractNumId w:val="8"/>
  </w:num>
  <w:num w:numId="2">
    <w:abstractNumId w:val="9"/>
  </w:num>
  <w:num w:numId="3">
    <w:abstractNumId w:val="6"/>
  </w:num>
  <w:num w:numId="4">
    <w:abstractNumId w:val="2"/>
  </w:num>
  <w:num w:numId="5">
    <w:abstractNumId w:val="11"/>
  </w:num>
  <w:num w:numId="6">
    <w:abstractNumId w:val="10"/>
  </w:num>
  <w:num w:numId="7">
    <w:abstractNumId w:val="7"/>
  </w:num>
  <w:num w:numId="8">
    <w:abstractNumId w:val="0"/>
  </w:num>
  <w:num w:numId="9">
    <w:abstractNumId w:val="5"/>
  </w:num>
  <w:num w:numId="10">
    <w:abstractNumId w:val="1"/>
  </w:num>
  <w:num w:numId="11">
    <w:abstractNumId w:val="3"/>
  </w:num>
  <w:num w:numId="12">
    <w:abstractNumId w:val="4"/>
  </w:num>
  <w:num w:numId="13">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4"/>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eastAsia="宋体"/>
      <w:lang w:eastAsia="ru-RU"/>
    </w:rPr>
  </w:style>
  <w:style w:type="paragraph" w:styleId="style1">
    <w:name w:val="heading 1"/>
    <w:basedOn w:val="style0"/>
    <w:next w:val="style0"/>
    <w:link w:val="style4097"/>
    <w:qFormat/>
    <w:uiPriority w:val="9"/>
    <w:pPr>
      <w:keepNext/>
      <w:autoSpaceDE w:val="false"/>
      <w:autoSpaceDN w:val="false"/>
      <w:spacing w:after="0" w:lineRule="auto" w:line="240"/>
      <w:jc w:val="center"/>
      <w:outlineLvl w:val="0"/>
    </w:pPr>
    <w:rPr>
      <w:rFonts w:ascii="Cambria" w:cs="Times New Roman" w:eastAsia="Times New Roman" w:hAnsi="Cambria"/>
      <w:b/>
      <w:bCs/>
      <w:kern w:val="32"/>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uiPriority w:val="9"/>
    <w:rPr>
      <w:rFonts w:ascii="Cambria" w:cs="Times New Roman" w:eastAsia="Times New Roman" w:hAnsi="Cambria"/>
      <w:b/>
      <w:bCs/>
      <w:kern w:val="32"/>
      <w:sz w:val="32"/>
      <w:szCs w:val="32"/>
      <w:lang w:eastAsia="ru-RU"/>
    </w:rPr>
  </w:style>
  <w:style w:type="paragraph" w:styleId="style80">
    <w:name w:val="Body Text 2"/>
    <w:basedOn w:val="style0"/>
    <w:next w:val="style80"/>
    <w:link w:val="style4098"/>
    <w:pPr>
      <w:autoSpaceDE w:val="false"/>
      <w:autoSpaceDN w:val="false"/>
      <w:spacing w:after="0" w:lineRule="auto" w:line="240"/>
      <w:jc w:val="center"/>
    </w:pPr>
    <w:rPr>
      <w:rFonts w:ascii="Times New Roman" w:cs="Times New Roman" w:eastAsia="Times New Roman" w:hAnsi="Times New Roman"/>
      <w:sz w:val="20"/>
      <w:szCs w:val="20"/>
    </w:rPr>
  </w:style>
  <w:style w:type="character" w:customStyle="1" w:styleId="style4098">
    <w:name w:val="Основной текст 2 Знак"/>
    <w:basedOn w:val="style65"/>
    <w:next w:val="style4098"/>
    <w:link w:val="style80"/>
    <w:rPr>
      <w:rFonts w:ascii="Times New Roman" w:cs="Times New Roman" w:eastAsia="Times New Roman" w:hAnsi="Times New Roman"/>
      <w:sz w:val="20"/>
      <w:szCs w:val="20"/>
      <w:lang w:eastAsia="ru-RU"/>
    </w:rPr>
  </w:style>
  <w:style w:type="paragraph" w:styleId="style81">
    <w:name w:val="Body Text 3"/>
    <w:basedOn w:val="style0"/>
    <w:next w:val="style81"/>
    <w:link w:val="style4099"/>
    <w:uiPriority w:val="99"/>
    <w:pPr>
      <w:autoSpaceDE w:val="false"/>
      <w:autoSpaceDN w:val="false"/>
      <w:spacing w:after="0" w:lineRule="auto" w:line="240"/>
      <w:ind w:right="-341"/>
    </w:pPr>
    <w:rPr>
      <w:rFonts w:ascii="Times New Roman" w:cs="Times New Roman" w:eastAsia="Times New Roman" w:hAnsi="Times New Roman"/>
      <w:sz w:val="16"/>
      <w:szCs w:val="16"/>
    </w:rPr>
  </w:style>
  <w:style w:type="character" w:customStyle="1" w:styleId="style4099">
    <w:name w:val="Основной текст 3 Знак"/>
    <w:basedOn w:val="style65"/>
    <w:next w:val="style4099"/>
    <w:link w:val="style81"/>
    <w:uiPriority w:val="99"/>
    <w:rPr>
      <w:rFonts w:ascii="Times New Roman" w:cs="Times New Roman" w:eastAsia="Times New Roman" w:hAnsi="Times New Roman"/>
      <w:sz w:val="16"/>
      <w:szCs w:val="16"/>
      <w:lang w:eastAsia="ru-RU"/>
    </w:rPr>
  </w:style>
  <w:style w:type="paragraph" w:styleId="style82">
    <w:name w:val="Body Text Indent 2"/>
    <w:basedOn w:val="style0"/>
    <w:next w:val="style82"/>
    <w:link w:val="style4100"/>
    <w:uiPriority w:val="99"/>
    <w:pPr>
      <w:autoSpaceDE w:val="false"/>
      <w:autoSpaceDN w:val="false"/>
      <w:spacing w:after="0" w:lineRule="auto" w:line="240"/>
      <w:ind w:firstLine="425"/>
      <w:jc w:val="both"/>
    </w:pPr>
    <w:rPr>
      <w:rFonts w:ascii="Times New Roman" w:cs="Times New Roman" w:eastAsia="Times New Roman" w:hAnsi="Times New Roman"/>
      <w:sz w:val="20"/>
      <w:szCs w:val="20"/>
    </w:rPr>
  </w:style>
  <w:style w:type="character" w:customStyle="1" w:styleId="style4100">
    <w:name w:val="Основной текст с отступом 2 Знак"/>
    <w:basedOn w:val="style65"/>
    <w:next w:val="style4100"/>
    <w:link w:val="style82"/>
    <w:uiPriority w:val="99"/>
    <w:rPr>
      <w:rFonts w:ascii="Times New Roman" w:cs="Times New Roman" w:eastAsia="Times New Roman" w:hAnsi="Times New Roman"/>
      <w:sz w:val="20"/>
      <w:szCs w:val="20"/>
      <w:lang w:eastAsia="ru-RU"/>
    </w:rPr>
  </w:style>
  <w:style w:type="character" w:styleId="style38">
    <w:name w:val="footnote reference"/>
    <w:next w:val="style38"/>
    <w:uiPriority w:val="99"/>
    <w:rPr>
      <w:rFonts w:cs="Times New Roman"/>
      <w:vertAlign w:val="superscript"/>
    </w:rPr>
  </w:style>
  <w:style w:type="paragraph" w:styleId="style29">
    <w:name w:val="footnote text"/>
    <w:basedOn w:val="style0"/>
    <w:next w:val="style29"/>
    <w:link w:val="style4101"/>
    <w:uiPriority w:val="99"/>
    <w:pPr>
      <w:autoSpaceDE w:val="false"/>
      <w:autoSpaceDN w:val="false"/>
      <w:spacing w:after="0" w:lineRule="auto" w:line="240"/>
    </w:pPr>
    <w:rPr>
      <w:rFonts w:ascii="Times New Roman" w:cs="Times New Roman" w:eastAsia="Times New Roman" w:hAnsi="Times New Roman"/>
      <w:sz w:val="20"/>
      <w:szCs w:val="20"/>
    </w:rPr>
  </w:style>
  <w:style w:type="character" w:customStyle="1" w:styleId="style4101">
    <w:name w:val="Текст сноски Знак"/>
    <w:basedOn w:val="style65"/>
    <w:next w:val="style4101"/>
    <w:link w:val="style29"/>
    <w:uiPriority w:val="99"/>
    <w:rPr>
      <w:rFonts w:ascii="Times New Roman" w:cs="Times New Roman" w:eastAsia="Times New Roman" w:hAnsi="Times New Roman"/>
      <w:sz w:val="20"/>
      <w:szCs w:val="20"/>
      <w:lang w:eastAsia="ru-RU"/>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714</Words>
  <Pages>1</Pages>
  <Characters>5014</Characters>
  <Application>WPS Office</Application>
  <DocSecurity>0</DocSecurity>
  <Paragraphs>55</Paragraphs>
  <ScaleCrop>false</ScaleCrop>
  <LinksUpToDate>false</LinksUpToDate>
  <CharactersWithSpaces>5728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2023-09-15T09:18:00Z</dcterms:created>
  <dc:creator>hp</dc:creator>
  <lastModifiedBy>21061119BI</lastModifiedBy>
  <dcterms:modified xsi:type="dcterms:W3CDTF">2023-10-28T17:22:26Z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aa6e2631434b4f6da9b5fd0588f18b35</vt:lpwstr>
  </property>
</Properties>
</file>